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2A" w:rsidRDefault="00425B2A">
      <w:pPr>
        <w:pStyle w:val="a3"/>
        <w:spacing w:before="37"/>
        <w:rPr>
          <w:rFonts w:ascii="Times New Roman"/>
        </w:rPr>
      </w:pPr>
    </w:p>
    <w:p w:rsidR="00425B2A" w:rsidRDefault="0065358B">
      <w:pPr>
        <w:ind w:right="17"/>
        <w:jc w:val="center"/>
        <w:rPr>
          <w:b/>
        </w:rPr>
      </w:pPr>
      <w:r>
        <w:rPr>
          <w:b/>
        </w:rPr>
        <w:t>NORME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REDACTARE</w:t>
      </w:r>
    </w:p>
    <w:p w:rsidR="00425B2A" w:rsidRDefault="00425B2A">
      <w:pPr>
        <w:pStyle w:val="a3"/>
        <w:rPr>
          <w:b/>
        </w:rPr>
      </w:pPr>
    </w:p>
    <w:p w:rsidR="00425B2A" w:rsidRDefault="0065358B">
      <w:pPr>
        <w:ind w:left="100"/>
        <w:rPr>
          <w:b/>
        </w:rPr>
      </w:pPr>
      <w:r>
        <w:rPr>
          <w:b/>
          <w:color w:val="FF0000"/>
        </w:rPr>
        <w:t>Termen-limită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expediere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articolelor:</w:t>
      </w:r>
      <w:r>
        <w:rPr>
          <w:b/>
          <w:color w:val="FF0000"/>
          <w:spacing w:val="41"/>
        </w:rPr>
        <w:t xml:space="preserve"> </w:t>
      </w:r>
      <w:r>
        <w:rPr>
          <w:b/>
          <w:color w:val="FF0000"/>
        </w:rPr>
        <w:t>3</w:t>
      </w:r>
      <w:r w:rsidR="009F1AE2">
        <w:rPr>
          <w:b/>
          <w:color w:val="FF0000"/>
        </w:rPr>
        <w:t>0 mai</w:t>
      </w:r>
      <w:r w:rsidR="009F1AE2">
        <w:rPr>
          <w:b/>
          <w:color w:val="FF0000"/>
          <w:spacing w:val="-4"/>
        </w:rPr>
        <w:t xml:space="preserve"> 2024</w:t>
      </w:r>
      <w:bookmarkStart w:id="0" w:name="_GoBack"/>
      <w:bookmarkEnd w:id="0"/>
    </w:p>
    <w:p w:rsidR="00425B2A" w:rsidRDefault="00425B2A">
      <w:pPr>
        <w:pStyle w:val="a3"/>
        <w:rPr>
          <w:b/>
        </w:rPr>
      </w:pPr>
    </w:p>
    <w:p w:rsidR="00425B2A" w:rsidRDefault="0065358B">
      <w:pPr>
        <w:pStyle w:val="a5"/>
        <w:numPr>
          <w:ilvl w:val="0"/>
          <w:numId w:val="2"/>
        </w:numPr>
        <w:tabs>
          <w:tab w:val="left" w:pos="527"/>
        </w:tabs>
        <w:ind w:left="527" w:hanging="359"/>
        <w:rPr>
          <w:b/>
        </w:rPr>
      </w:pPr>
      <w:r>
        <w:rPr>
          <w:b/>
        </w:rPr>
        <w:t>Prezentarea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manuscrisului</w:t>
      </w:r>
    </w:p>
    <w:p w:rsidR="00425B2A" w:rsidRDefault="0065358B">
      <w:pPr>
        <w:pStyle w:val="a3"/>
        <w:spacing w:before="2"/>
        <w:ind w:left="528"/>
      </w:pPr>
      <w:r>
        <w:t>Materialele vor fi expediate pe e-mailul Catedrei de drept</w:t>
      </w:r>
      <w:r>
        <w:rPr>
          <w:spacing w:val="24"/>
        </w:rPr>
        <w:t xml:space="preserve"> </w:t>
      </w:r>
      <w:r>
        <w:t>a USARB (</w:t>
      </w:r>
      <w:hyperlink r:id="rId7">
        <w:r>
          <w:rPr>
            <w:color w:val="0000FF"/>
            <w:u w:val="single" w:color="0000FF"/>
          </w:rPr>
          <w:t>catedra.drept@usarb.md</w:t>
        </w:r>
      </w:hyperlink>
      <w:r>
        <w:rPr>
          <w:color w:val="0000FF"/>
          <w:spacing w:val="24"/>
        </w:rPr>
        <w:t xml:space="preserve"> </w:t>
      </w:r>
      <w:r>
        <w:t>), redactate</w:t>
      </w:r>
      <w:r>
        <w:rPr>
          <w:spacing w:val="40"/>
        </w:rPr>
        <w:t xml:space="preserve"> </w:t>
      </w:r>
      <w:r>
        <w:t xml:space="preserve">în </w:t>
      </w:r>
      <w:r>
        <w:rPr>
          <w:color w:val="0000CC"/>
        </w:rPr>
        <w:t xml:space="preserve">Word.docx </w:t>
      </w:r>
      <w:r>
        <w:t>, Times New Roman</w:t>
      </w:r>
    </w:p>
    <w:p w:rsidR="00425B2A" w:rsidRDefault="0065358B">
      <w:pPr>
        <w:pStyle w:val="a5"/>
        <w:numPr>
          <w:ilvl w:val="0"/>
          <w:numId w:val="2"/>
        </w:numPr>
        <w:tabs>
          <w:tab w:val="left" w:pos="526"/>
          <w:tab w:val="left" w:pos="528"/>
        </w:tabs>
        <w:spacing w:before="3" w:line="237" w:lineRule="auto"/>
        <w:ind w:right="112"/>
      </w:pPr>
      <w:r>
        <w:rPr>
          <w:b/>
        </w:rPr>
        <w:t>Dimensiuni</w:t>
      </w:r>
      <w:r>
        <w:rPr>
          <w:b/>
          <w:spacing w:val="80"/>
          <w:w w:val="150"/>
        </w:rPr>
        <w:t xml:space="preserve"> </w:t>
      </w:r>
      <w:r>
        <w:rPr>
          <w:b/>
        </w:rPr>
        <w:t>acceptate</w:t>
      </w:r>
      <w:r>
        <w:rPr>
          <w:b/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rPr>
          <w:b/>
        </w:rPr>
        <w:t>max.</w:t>
      </w:r>
      <w:r>
        <w:rPr>
          <w:b/>
          <w:spacing w:val="80"/>
          <w:w w:val="150"/>
        </w:rPr>
        <w:t xml:space="preserve"> </w:t>
      </w:r>
      <w:r>
        <w:rPr>
          <w:b/>
        </w:rPr>
        <w:t>30.000</w:t>
      </w:r>
      <w:r>
        <w:rPr>
          <w:b/>
          <w:spacing w:val="80"/>
          <w:w w:val="150"/>
        </w:rPr>
        <w:t xml:space="preserve"> </w:t>
      </w:r>
      <w:r>
        <w:rPr>
          <w:b/>
        </w:rPr>
        <w:t>semne</w:t>
      </w:r>
      <w:r>
        <w:rPr>
          <w:b/>
          <w:spacing w:val="80"/>
          <w:w w:val="150"/>
        </w:rPr>
        <w:t xml:space="preserve"> </w:t>
      </w:r>
      <w:r>
        <w:t>(</w:t>
      </w:r>
      <w:r>
        <w:rPr>
          <w:b/>
        </w:rPr>
        <w:t>~3000</w:t>
      </w:r>
      <w:r>
        <w:rPr>
          <w:b/>
          <w:spacing w:val="80"/>
          <w:w w:val="150"/>
        </w:rPr>
        <w:t xml:space="preserve"> </w:t>
      </w:r>
      <w:r>
        <w:t>semne/pagină,</w:t>
      </w:r>
      <w:r>
        <w:rPr>
          <w:spacing w:val="80"/>
          <w:w w:val="150"/>
        </w:rPr>
        <w:t xml:space="preserve"> </w:t>
      </w:r>
      <w:r>
        <w:t>maximum</w:t>
      </w:r>
      <w:r>
        <w:rPr>
          <w:spacing w:val="80"/>
          <w:w w:val="150"/>
        </w:rPr>
        <w:t xml:space="preserve"> </w:t>
      </w:r>
      <w:r>
        <w:t xml:space="preserve">8-10 </w:t>
      </w:r>
      <w:r>
        <w:rPr>
          <w:spacing w:val="-2"/>
        </w:rPr>
        <w:t>pagini/articol);</w:t>
      </w:r>
    </w:p>
    <w:p w:rsidR="00425B2A" w:rsidRDefault="0065358B">
      <w:pPr>
        <w:pStyle w:val="1"/>
        <w:numPr>
          <w:ilvl w:val="0"/>
          <w:numId w:val="2"/>
        </w:numPr>
        <w:tabs>
          <w:tab w:val="left" w:pos="527"/>
        </w:tabs>
        <w:spacing w:before="3" w:line="257" w:lineRule="exact"/>
        <w:ind w:left="527" w:hanging="359"/>
      </w:pPr>
      <w:r>
        <w:t>Forma</w:t>
      </w:r>
      <w:r>
        <w:rPr>
          <w:spacing w:val="-5"/>
        </w:rPr>
        <w:t xml:space="preserve"> </w:t>
      </w:r>
      <w:r>
        <w:rPr>
          <w:spacing w:val="-2"/>
        </w:rPr>
        <w:t>articolului</w:t>
      </w:r>
    </w:p>
    <w:p w:rsidR="00425B2A" w:rsidRDefault="0065358B">
      <w:pPr>
        <w:pStyle w:val="a5"/>
        <w:numPr>
          <w:ilvl w:val="1"/>
          <w:numId w:val="2"/>
        </w:numPr>
        <w:tabs>
          <w:tab w:val="left" w:pos="1540"/>
        </w:tabs>
        <w:spacing w:line="257" w:lineRule="exact"/>
        <w:ind w:left="1540" w:hanging="948"/>
        <w:jc w:val="left"/>
        <w:rPr>
          <w:b/>
        </w:rPr>
      </w:pPr>
      <w:r>
        <w:rPr>
          <w:b/>
        </w:rPr>
        <w:t>Structura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articolului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6"/>
        </w:tabs>
        <w:spacing w:before="2" w:line="257" w:lineRule="exact"/>
        <w:ind w:left="1596"/>
      </w:pPr>
      <w:r>
        <w:rPr>
          <w:b/>
        </w:rPr>
        <w:t>Titlul</w:t>
      </w:r>
      <w:r>
        <w:rPr>
          <w:b/>
          <w:spacing w:val="-6"/>
        </w:rPr>
        <w:t xml:space="preserve"> </w:t>
      </w:r>
      <w:r>
        <w:rPr>
          <w:b/>
        </w:rPr>
        <w:t>lucrării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6"/>
        </w:rPr>
        <w:t xml:space="preserve"> </w:t>
      </w:r>
      <w:r>
        <w:t>scris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limba</w:t>
      </w:r>
      <w:r>
        <w:rPr>
          <w:spacing w:val="-4"/>
        </w:rPr>
        <w:t xml:space="preserve"> </w:t>
      </w:r>
      <w:r>
        <w:t>originalului,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minuscule,</w:t>
      </w:r>
      <w:r>
        <w:rPr>
          <w:spacing w:val="-1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bold,</w:t>
      </w:r>
      <w:r>
        <w:rPr>
          <w:spacing w:val="-5"/>
        </w:rPr>
        <w:t xml:space="preserve"> </w:t>
      </w:r>
      <w:r>
        <w:rPr>
          <w:spacing w:val="-2"/>
        </w:rPr>
        <w:t>centrat;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7"/>
        </w:tabs>
        <w:spacing w:line="242" w:lineRule="auto"/>
        <w:ind w:right="117"/>
      </w:pPr>
      <w:r>
        <w:rPr>
          <w:b/>
        </w:rPr>
        <w:t>Prenumele</w:t>
      </w:r>
      <w:r>
        <w:rPr>
          <w:b/>
          <w:spacing w:val="30"/>
        </w:rPr>
        <w:t xml:space="preserve"> </w:t>
      </w:r>
      <w:r>
        <w:rPr>
          <w:b/>
        </w:rPr>
        <w:t>şi</w:t>
      </w:r>
      <w:r>
        <w:rPr>
          <w:b/>
          <w:spacing w:val="31"/>
        </w:rPr>
        <w:t xml:space="preserve"> </w:t>
      </w:r>
      <w:r>
        <w:rPr>
          <w:b/>
        </w:rPr>
        <w:t>NUMELE</w:t>
      </w:r>
      <w:r>
        <w:rPr>
          <w:b/>
          <w:spacing w:val="34"/>
        </w:rPr>
        <w:t xml:space="preserve"> </w:t>
      </w:r>
      <w:r>
        <w:rPr>
          <w:b/>
        </w:rPr>
        <w:t>autorului/autorilor</w:t>
      </w:r>
      <w:r>
        <w:t>,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rând</w:t>
      </w:r>
      <w:r>
        <w:rPr>
          <w:spacing w:val="37"/>
        </w:rPr>
        <w:t xml:space="preserve"> </w:t>
      </w:r>
      <w:r>
        <w:t>distanţă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titlu,</w:t>
      </w:r>
      <w:r>
        <w:rPr>
          <w:spacing w:val="34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t>partea dreaptă a paginii</w:t>
      </w:r>
      <w:r>
        <w:rPr>
          <w:spacing w:val="40"/>
        </w:rPr>
        <w:t xml:space="preserve"> </w:t>
      </w:r>
      <w:r>
        <w:t>– 12, bold;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6"/>
        </w:tabs>
        <w:spacing w:line="253" w:lineRule="exact"/>
        <w:ind w:left="1596"/>
      </w:pPr>
      <w:r>
        <w:rPr>
          <w:b/>
        </w:rPr>
        <w:t>Afilierea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rând</w:t>
      </w:r>
      <w:r>
        <w:rPr>
          <w:spacing w:val="-2"/>
        </w:rPr>
        <w:t xml:space="preserve"> </w:t>
      </w:r>
      <w:r>
        <w:t>distanţă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prenumele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numele</w:t>
      </w:r>
      <w:r>
        <w:rPr>
          <w:spacing w:val="-3"/>
        </w:rPr>
        <w:t xml:space="preserve"> </w:t>
      </w:r>
      <w:r>
        <w:t>autorului/autorilor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5"/>
        </w:rPr>
        <w:t>12;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7"/>
        </w:tabs>
        <w:spacing w:before="2"/>
        <w:ind w:right="113"/>
        <w:jc w:val="both"/>
      </w:pPr>
      <w:r>
        <w:rPr>
          <w:b/>
        </w:rPr>
        <w:t>Rezumatele</w:t>
      </w:r>
      <w:r>
        <w:t xml:space="preserve">: Articolele vor fi însoţite de rezumat într-o limbă de circulaţie internaţională. </w:t>
      </w:r>
      <w:r>
        <w:rPr>
          <w:b/>
          <w:color w:val="0000CC"/>
        </w:rPr>
        <w:t xml:space="preserve">Textele scrise în alte limbi vor fi însoţite de rezumat în limba română. </w:t>
      </w:r>
      <w:r>
        <w:t xml:space="preserve">Rezumatele nu vor depăşi 700 de semne şi vor fi însoţite de </w:t>
      </w:r>
      <w:r>
        <w:rPr>
          <w:b/>
        </w:rPr>
        <w:t>cuvinte-cheie</w:t>
      </w:r>
      <w:r>
        <w:t>, scrise în limba în care e</w:t>
      </w:r>
      <w:r>
        <w:t>ste scris rezumatul;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5"/>
        </w:tabs>
        <w:spacing w:line="257" w:lineRule="exact"/>
        <w:ind w:left="1595" w:hanging="359"/>
        <w:jc w:val="both"/>
      </w:pPr>
      <w:r>
        <w:rPr>
          <w:b/>
        </w:rPr>
        <w:t>Textul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interval -</w:t>
      </w:r>
      <w:r>
        <w:rPr>
          <w:spacing w:val="-2"/>
        </w:rPr>
        <w:t xml:space="preserve"> </w:t>
      </w:r>
      <w:r>
        <w:rPr>
          <w:spacing w:val="-4"/>
        </w:rPr>
        <w:t>1,5;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95"/>
        </w:tabs>
        <w:spacing w:line="257" w:lineRule="exact"/>
        <w:ind w:left="1595" w:hanging="359"/>
        <w:jc w:val="both"/>
      </w:pPr>
      <w:r>
        <w:rPr>
          <w:b/>
        </w:rPr>
        <w:t>Bibliografia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rând distanţă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text.</w:t>
      </w:r>
    </w:p>
    <w:p w:rsidR="00425B2A" w:rsidRDefault="00425B2A">
      <w:pPr>
        <w:pStyle w:val="a3"/>
      </w:pPr>
    </w:p>
    <w:p w:rsidR="00425B2A" w:rsidRDefault="0065358B">
      <w:pPr>
        <w:pStyle w:val="1"/>
        <w:numPr>
          <w:ilvl w:val="1"/>
          <w:numId w:val="2"/>
        </w:numPr>
        <w:tabs>
          <w:tab w:val="left" w:pos="1540"/>
        </w:tabs>
        <w:spacing w:before="1" w:line="257" w:lineRule="exact"/>
        <w:ind w:left="1540" w:hanging="948"/>
        <w:jc w:val="both"/>
      </w:pPr>
      <w:r>
        <w:t>Reguli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ierarhizare</w:t>
      </w:r>
    </w:p>
    <w:p w:rsidR="00425B2A" w:rsidRDefault="0065358B">
      <w:pPr>
        <w:pStyle w:val="a3"/>
        <w:ind w:left="953" w:right="120"/>
        <w:jc w:val="both"/>
      </w:pPr>
      <w:r>
        <w:t>În cazul divizării conţinutului articolului, acesta se va face prin numerotarea capitolelor şi a subcapitolelor potrivit sistemului decimal, fie că se optează pentru inserarea de titluri şi subtitluri sau nu.</w:t>
      </w:r>
    </w:p>
    <w:p w:rsidR="00425B2A" w:rsidRDefault="0065358B">
      <w:pPr>
        <w:pStyle w:val="a3"/>
        <w:spacing w:before="1"/>
        <w:ind w:left="953" w:right="123"/>
        <w:jc w:val="both"/>
      </w:pPr>
      <w:r>
        <w:t>În cazul în care, în interiorul capitolelor sau</w:t>
      </w:r>
      <w:r>
        <w:t xml:space="preserve"> subcapitolelor, sunt necesare enumerări sau ierarhizări de exemple, se pot întrebuinţa următoarele tipuri de notare:</w:t>
      </w:r>
    </w:p>
    <w:p w:rsidR="00425B2A" w:rsidRDefault="0065358B">
      <w:pPr>
        <w:pStyle w:val="a3"/>
        <w:spacing w:line="257" w:lineRule="exact"/>
        <w:ind w:left="1661"/>
      </w:pPr>
      <w:r>
        <w:t>(I),</w:t>
      </w:r>
      <w:r>
        <w:rPr>
          <w:spacing w:val="-5"/>
        </w:rPr>
        <w:t xml:space="preserve"> </w:t>
      </w:r>
      <w:r>
        <w:t>(II),</w:t>
      </w:r>
      <w:r>
        <w:rPr>
          <w:spacing w:val="-4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:rsidR="00425B2A" w:rsidRDefault="0065358B">
      <w:pPr>
        <w:pStyle w:val="a3"/>
        <w:spacing w:line="257" w:lineRule="exact"/>
        <w:ind w:left="1661"/>
      </w:pPr>
      <w:r>
        <w:t>(A),</w:t>
      </w:r>
      <w:r>
        <w:rPr>
          <w:spacing w:val="-4"/>
        </w:rPr>
        <w:t xml:space="preserve"> </w:t>
      </w:r>
      <w:r>
        <w:t>(B),</w:t>
      </w:r>
      <w:r>
        <w:rPr>
          <w:spacing w:val="-4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:rsidR="00425B2A" w:rsidRDefault="0065358B">
      <w:pPr>
        <w:pStyle w:val="a3"/>
        <w:spacing w:before="2" w:line="257" w:lineRule="exact"/>
        <w:ind w:left="1661"/>
      </w:pPr>
      <w:r>
        <w:t>(1),</w:t>
      </w:r>
      <w:r>
        <w:rPr>
          <w:spacing w:val="-4"/>
        </w:rPr>
        <w:t xml:space="preserve"> </w:t>
      </w:r>
      <w:r>
        <w:t>(2),</w:t>
      </w:r>
      <w:r>
        <w:rPr>
          <w:spacing w:val="-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:rsidR="00425B2A" w:rsidRDefault="0065358B">
      <w:pPr>
        <w:pStyle w:val="a3"/>
        <w:spacing w:line="257" w:lineRule="exact"/>
        <w:ind w:left="1661"/>
      </w:pPr>
      <w:r>
        <w:t>(a),</w:t>
      </w:r>
      <w:r>
        <w:rPr>
          <w:spacing w:val="-4"/>
        </w:rPr>
        <w:t xml:space="preserve"> </w:t>
      </w:r>
      <w:r>
        <w:t>(b),</w:t>
      </w:r>
      <w:r>
        <w:rPr>
          <w:spacing w:val="-5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:rsidR="00425B2A" w:rsidRDefault="00425B2A">
      <w:pPr>
        <w:pStyle w:val="a3"/>
        <w:spacing w:before="1"/>
      </w:pPr>
    </w:p>
    <w:p w:rsidR="00425B2A" w:rsidRDefault="0065358B">
      <w:pPr>
        <w:pStyle w:val="1"/>
        <w:numPr>
          <w:ilvl w:val="1"/>
          <w:numId w:val="2"/>
        </w:numPr>
        <w:tabs>
          <w:tab w:val="left" w:pos="1588"/>
        </w:tabs>
        <w:ind w:left="1588" w:hanging="996"/>
        <w:jc w:val="left"/>
      </w:pPr>
      <w:r>
        <w:t>Normele</w:t>
      </w:r>
      <w:r>
        <w:rPr>
          <w:spacing w:val="-4"/>
        </w:rPr>
        <w:t xml:space="preserve"> </w:t>
      </w:r>
      <w:r>
        <w:rPr>
          <w:spacing w:val="-2"/>
        </w:rPr>
        <w:t>ortografice</w:t>
      </w:r>
    </w:p>
    <w:p w:rsidR="00425B2A" w:rsidRDefault="0065358B">
      <w:pPr>
        <w:pStyle w:val="a3"/>
        <w:spacing w:before="2"/>
        <w:ind w:left="953"/>
        <w:jc w:val="both"/>
      </w:pPr>
      <w:r>
        <w:t>Pentru</w:t>
      </w:r>
      <w:r>
        <w:rPr>
          <w:spacing w:val="-8"/>
        </w:rPr>
        <w:t xml:space="preserve"> </w:t>
      </w:r>
      <w:r>
        <w:t>articolele</w:t>
      </w:r>
      <w:r>
        <w:rPr>
          <w:spacing w:val="-3"/>
        </w:rPr>
        <w:t xml:space="preserve"> </w:t>
      </w:r>
      <w:r>
        <w:t>scrise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limba</w:t>
      </w:r>
      <w:r>
        <w:rPr>
          <w:spacing w:val="-4"/>
        </w:rPr>
        <w:t xml:space="preserve"> </w:t>
      </w:r>
      <w:r>
        <w:t>română,</w:t>
      </w:r>
      <w:r>
        <w:rPr>
          <w:spacing w:val="-4"/>
        </w:rPr>
        <w:t xml:space="preserve"> </w:t>
      </w:r>
      <w:r>
        <w:t>normele</w:t>
      </w:r>
      <w:r>
        <w:rPr>
          <w:spacing w:val="-4"/>
        </w:rPr>
        <w:t xml:space="preserve"> </w:t>
      </w:r>
      <w:r>
        <w:t>ortografice</w:t>
      </w:r>
      <w:r>
        <w:rPr>
          <w:spacing w:val="-3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DOOM.</w:t>
      </w:r>
    </w:p>
    <w:p w:rsidR="00425B2A" w:rsidRDefault="00425B2A">
      <w:pPr>
        <w:pStyle w:val="a3"/>
      </w:pPr>
    </w:p>
    <w:p w:rsidR="00425B2A" w:rsidRDefault="0065358B">
      <w:pPr>
        <w:pStyle w:val="1"/>
        <w:numPr>
          <w:ilvl w:val="1"/>
          <w:numId w:val="2"/>
        </w:numPr>
        <w:tabs>
          <w:tab w:val="left" w:pos="1540"/>
        </w:tabs>
        <w:ind w:left="1540" w:hanging="948"/>
        <w:jc w:val="left"/>
      </w:pPr>
      <w:r>
        <w:t>Caractere</w:t>
      </w:r>
      <w:r>
        <w:rPr>
          <w:spacing w:val="-6"/>
        </w:rPr>
        <w:t xml:space="preserve"> </w:t>
      </w:r>
      <w:r>
        <w:rPr>
          <w:spacing w:val="-2"/>
        </w:rPr>
        <w:t>tipografice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661"/>
        </w:tabs>
        <w:spacing w:before="38" w:line="276" w:lineRule="auto"/>
        <w:ind w:left="1661" w:right="126"/>
      </w:pPr>
      <w:r>
        <w:t>MAJUSCULELE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folosesc</w:t>
      </w:r>
      <w:r>
        <w:rPr>
          <w:spacing w:val="30"/>
        </w:rPr>
        <w:t xml:space="preserve"> </w:t>
      </w:r>
      <w:r>
        <w:t>potrivit</w:t>
      </w:r>
      <w:r>
        <w:rPr>
          <w:spacing w:val="33"/>
        </w:rPr>
        <w:t xml:space="preserve"> </w:t>
      </w:r>
      <w:r>
        <w:t>regulilor</w:t>
      </w:r>
      <w:r>
        <w:rPr>
          <w:spacing w:val="32"/>
        </w:rPr>
        <w:t xml:space="preserve"> </w:t>
      </w:r>
      <w:r>
        <w:t>ortografice</w:t>
      </w:r>
      <w:r>
        <w:rPr>
          <w:spacing w:val="32"/>
        </w:rPr>
        <w:t xml:space="preserve"> </w:t>
      </w:r>
      <w:r>
        <w:t>standard</w:t>
      </w:r>
      <w:r>
        <w:rPr>
          <w:spacing w:val="33"/>
        </w:rPr>
        <w:t xml:space="preserve"> </w:t>
      </w:r>
      <w:r>
        <w:t>ale</w:t>
      </w:r>
      <w:r>
        <w:rPr>
          <w:spacing w:val="32"/>
        </w:rPr>
        <w:t xml:space="preserve"> </w:t>
      </w:r>
      <w:r>
        <w:t>limbii</w:t>
      </w:r>
      <w:r>
        <w:rPr>
          <w:spacing w:val="30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care este redactat articolul şi la scrierea numelui autorului;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661"/>
        </w:tabs>
        <w:spacing w:line="276" w:lineRule="auto"/>
        <w:ind w:left="1661" w:right="124"/>
      </w:pPr>
      <w:r>
        <w:rPr>
          <w:i/>
        </w:rPr>
        <w:t>italicele</w:t>
      </w:r>
      <w:r>
        <w:rPr>
          <w:i/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folosesc</w:t>
      </w:r>
      <w:r>
        <w:rPr>
          <w:spacing w:val="40"/>
        </w:rPr>
        <w:t xml:space="preserve"> </w:t>
      </w:r>
      <w:r>
        <w:t>pentru</w:t>
      </w:r>
      <w:r>
        <w:rPr>
          <w:spacing w:val="40"/>
        </w:rPr>
        <w:t xml:space="preserve"> </w:t>
      </w:r>
      <w:r>
        <w:t>indicarea</w:t>
      </w:r>
      <w:r>
        <w:rPr>
          <w:spacing w:val="40"/>
        </w:rPr>
        <w:t xml:space="preserve"> </w:t>
      </w:r>
      <w:r>
        <w:t>caracterului,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exemplu,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unui</w:t>
      </w:r>
      <w:r>
        <w:rPr>
          <w:spacing w:val="40"/>
        </w:rPr>
        <w:t xml:space="preserve"> </w:t>
      </w:r>
      <w:r>
        <w:t>cuvânt</w:t>
      </w:r>
      <w:r>
        <w:rPr>
          <w:spacing w:val="40"/>
        </w:rPr>
        <w:t xml:space="preserve"> </w:t>
      </w:r>
      <w:r>
        <w:t>sau sintagmă şi la notarea cărţilor şi articolelor citate în text sau bibliografie;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660"/>
        </w:tabs>
        <w:spacing w:line="257" w:lineRule="exact"/>
        <w:ind w:left="1660" w:hanging="359"/>
      </w:pPr>
      <w:r>
        <w:rPr>
          <w:spacing w:val="17"/>
        </w:rPr>
        <w:t>spaţierea</w:t>
      </w:r>
      <w:r>
        <w:rPr>
          <w:spacing w:val="3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foloseşte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reliefarea</w:t>
      </w:r>
      <w:r>
        <w:rPr>
          <w:spacing w:val="-1"/>
        </w:rPr>
        <w:t xml:space="preserve"> </w:t>
      </w:r>
      <w:r>
        <w:t>unui</w:t>
      </w:r>
      <w:r>
        <w:rPr>
          <w:spacing w:val="-3"/>
        </w:rPr>
        <w:t xml:space="preserve"> </w:t>
      </w:r>
      <w:r>
        <w:rPr>
          <w:spacing w:val="-2"/>
        </w:rPr>
        <w:t>concept;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660"/>
        </w:tabs>
        <w:spacing w:before="41"/>
        <w:ind w:left="1660" w:hanging="359"/>
      </w:pPr>
      <w:r>
        <w:rPr>
          <w:b/>
        </w:rPr>
        <w:t>aldinele</w:t>
      </w:r>
      <w:r>
        <w:rPr>
          <w:b/>
          <w:spacing w:val="-4"/>
        </w:rPr>
        <w:t xml:space="preserve"> </w:t>
      </w:r>
      <w:r>
        <w:rPr>
          <w:b/>
        </w:rPr>
        <w:t>(bold)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întrebuinţează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scrierea</w:t>
      </w:r>
      <w:r>
        <w:rPr>
          <w:spacing w:val="-5"/>
        </w:rPr>
        <w:t xml:space="preserve"> </w:t>
      </w:r>
      <w:r>
        <w:t>titlurilor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2"/>
        </w:rPr>
        <w:t>subtitlurilor.</w:t>
      </w:r>
    </w:p>
    <w:p w:rsidR="00425B2A" w:rsidRDefault="00425B2A">
      <w:pPr>
        <w:pStyle w:val="a3"/>
        <w:spacing w:before="76"/>
      </w:pPr>
    </w:p>
    <w:p w:rsidR="00425B2A" w:rsidRDefault="0065358B">
      <w:pPr>
        <w:pStyle w:val="1"/>
        <w:numPr>
          <w:ilvl w:val="1"/>
          <w:numId w:val="2"/>
        </w:numPr>
        <w:tabs>
          <w:tab w:val="left" w:pos="1588"/>
        </w:tabs>
        <w:ind w:left="1588" w:hanging="996"/>
        <w:jc w:val="left"/>
      </w:pPr>
      <w:r>
        <w:rPr>
          <w:spacing w:val="-2"/>
        </w:rPr>
        <w:t>Bibliografia</w:t>
      </w:r>
    </w:p>
    <w:p w:rsidR="00425B2A" w:rsidRDefault="00425B2A">
      <w:pPr>
        <w:sectPr w:rsidR="00425B2A">
          <w:headerReference w:type="default" r:id="rId8"/>
          <w:footerReference w:type="default" r:id="rId9"/>
          <w:type w:val="continuous"/>
          <w:pgSz w:w="11920" w:h="16840"/>
          <w:pgMar w:top="3300" w:right="620" w:bottom="1060" w:left="1500" w:header="736" w:footer="868" w:gutter="0"/>
          <w:pgNumType w:start="1"/>
          <w:cols w:space="708"/>
        </w:sectPr>
      </w:pPr>
    </w:p>
    <w:p w:rsidR="00425B2A" w:rsidRDefault="00425B2A">
      <w:pPr>
        <w:pStyle w:val="a3"/>
        <w:spacing w:before="32"/>
        <w:rPr>
          <w:b/>
        </w:rPr>
      </w:pPr>
    </w:p>
    <w:p w:rsidR="00425B2A" w:rsidRDefault="0065358B">
      <w:pPr>
        <w:pStyle w:val="a3"/>
        <w:spacing w:line="278" w:lineRule="auto"/>
        <w:ind w:left="953" w:right="115"/>
      </w:pPr>
      <w:r>
        <w:t xml:space="preserve">Fiecare articol este însoţit obligatoriu de </w:t>
      </w:r>
      <w:r>
        <w:rPr>
          <w:b/>
        </w:rPr>
        <w:t xml:space="preserve">Bibliografie, </w:t>
      </w:r>
      <w:r>
        <w:t>care conţine lucrările citate, inserate în ordine alfabetică, fiind numerotate.</w:t>
      </w:r>
    </w:p>
    <w:p w:rsidR="00425B2A" w:rsidRDefault="00425B2A">
      <w:pPr>
        <w:pStyle w:val="a3"/>
        <w:spacing w:before="35"/>
      </w:pPr>
    </w:p>
    <w:p w:rsidR="00425B2A" w:rsidRDefault="0065358B">
      <w:pPr>
        <w:spacing w:before="1"/>
        <w:ind w:left="528"/>
        <w:jc w:val="both"/>
        <w:rPr>
          <w:b/>
        </w:rPr>
      </w:pPr>
      <w:r>
        <w:t>Pentru</w:t>
      </w:r>
      <w:r>
        <w:rPr>
          <w:spacing w:val="-7"/>
        </w:rPr>
        <w:t xml:space="preserve"> </w:t>
      </w:r>
      <w:r>
        <w:t>diferite</w:t>
      </w:r>
      <w:r>
        <w:rPr>
          <w:spacing w:val="-3"/>
        </w:rPr>
        <w:t xml:space="preserve"> </w:t>
      </w:r>
      <w:r>
        <w:t>varietăţi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titluri,</w:t>
      </w:r>
      <w:r>
        <w:rPr>
          <w:spacing w:val="-4"/>
        </w:rPr>
        <w:t xml:space="preserve"> </w:t>
      </w:r>
      <w:r>
        <w:t>participanții</w:t>
      </w:r>
      <w:r>
        <w:rPr>
          <w:spacing w:val="-5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rugaţi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respecte</w:t>
      </w:r>
      <w:r>
        <w:rPr>
          <w:spacing w:val="5"/>
        </w:rPr>
        <w:t xml:space="preserve"> </w:t>
      </w:r>
      <w:r>
        <w:rPr>
          <w:b/>
          <w:u w:val="single"/>
        </w:rPr>
        <w:t>modelele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mai</w:t>
      </w:r>
      <w:r>
        <w:rPr>
          <w:b/>
          <w:spacing w:val="-4"/>
          <w:u w:val="single"/>
        </w:rPr>
        <w:t xml:space="preserve"> jos</w:t>
      </w:r>
      <w:r>
        <w:rPr>
          <w:b/>
          <w:spacing w:val="-4"/>
        </w:rPr>
        <w:t>: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before="38" w:line="276" w:lineRule="auto"/>
        <w:ind w:right="117"/>
        <w:jc w:val="both"/>
      </w:pPr>
      <w:r>
        <w:t xml:space="preserve">BOIŞTEANU E., DRUMEA I. </w:t>
      </w:r>
      <w:r>
        <w:rPr>
          <w:i/>
        </w:rPr>
        <w:t>Unele reflecţii juridice privind definirea noţiunii de parteneriat social în sfera muncii şi conturarea principiilor de bază ale parteneriatului social în legislaţia Republicii Moldova</w:t>
      </w:r>
      <w:r>
        <w:t xml:space="preserve">. În: Revista română de dreptul muncii, nr. 7/2016, p. 30-40. ISSN 1582- </w:t>
      </w:r>
      <w:r>
        <w:rPr>
          <w:spacing w:val="-2"/>
        </w:rPr>
        <w:t>7534.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before="2" w:line="276" w:lineRule="auto"/>
        <w:ind w:right="112"/>
        <w:jc w:val="both"/>
      </w:pPr>
      <w:r>
        <w:t xml:space="preserve">Convenţia de la Ottawa din 1997 privind interzicerea utilizării, stocării, producerii și transferului de mine anti-personal și distrugerea acestora // [On-line]: </w:t>
      </w:r>
      <w:hyperlink r:id="rId10">
        <w:r>
          <w:rPr>
            <w:color w:val="0000FF"/>
            <w:u w:val="single" w:color="0000FF"/>
          </w:rPr>
          <w:t>www.icrc.org/eng/assets/files/other/1997_ap_mines.pdf</w:t>
        </w:r>
      </w:hyperlink>
      <w:r>
        <w:rPr>
          <w:color w:val="0000FF"/>
          <w:spacing w:val="40"/>
        </w:rPr>
        <w:t xml:space="preserve"> </w:t>
      </w:r>
      <w:r>
        <w:t>(accesat pe 19.12.2021).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6" w:lineRule="auto"/>
        <w:ind w:right="113"/>
        <w:jc w:val="both"/>
      </w:pPr>
      <w:r>
        <w:t>Decizia Colegiului penal lărgit al Curţii Supreme de Justiţie din 29.01.2019. Dosarul nr. 1ra- 33/2019. [On-line</w:t>
      </w:r>
      <w:r>
        <w:t xml:space="preserve">]: </w:t>
      </w:r>
      <w:hyperlink r:id="rId11">
        <w:r>
          <w:rPr>
            <w:color w:val="0000FF"/>
            <w:u w:val="single" w:color="0000FF"/>
          </w:rPr>
          <w:t>http://jurisprudenta.csj.md/search_col_penal.php?id=13022</w:t>
        </w:r>
      </w:hyperlink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8" w:lineRule="auto"/>
        <w:ind w:right="127"/>
        <w:jc w:val="both"/>
      </w:pPr>
      <w:r>
        <w:t xml:space="preserve">Hotărârea CtEDO din 12.12.2017 în cauza nr. 65324/09 Ialamov v. Republica Moldova. // [Online]: </w:t>
      </w:r>
      <w:hyperlink r:id="rId12">
        <w:r>
          <w:rPr>
            <w:color w:val="0000FF"/>
            <w:u w:val="single" w:color="0000FF"/>
          </w:rPr>
          <w:t>http://hudoc.echr.coe.int/eng?i=001-179414</w:t>
        </w:r>
      </w:hyperlink>
      <w:r>
        <w:rPr>
          <w:color w:val="0000FF"/>
          <w:spacing w:val="40"/>
        </w:rPr>
        <w:t xml:space="preserve"> </w:t>
      </w:r>
      <w:r>
        <w:t>(accesat pe 05.01.2022).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6" w:lineRule="auto"/>
        <w:ind w:right="112"/>
        <w:jc w:val="both"/>
      </w:pPr>
      <w:r>
        <w:t>Hotărârea Plenului Curţii Supreme de Justiţie a Republicii Moldova de modificare şi completare a Hotărârii Plenului CSJ nr. 1 din 25.04.2016 „Cu pri</w:t>
      </w:r>
      <w:r>
        <w:t xml:space="preserve">vire la practica aplicării unor prevederi ale legislaţiei ce vizează dreptul de autor şi drepturile conexe”. // [Online]: </w:t>
      </w:r>
      <w:hyperlink r:id="rId13">
        <w:r>
          <w:rPr>
            <w:color w:val="0000FF"/>
            <w:u w:val="single" w:color="0000FF"/>
          </w:rPr>
          <w:t>http://jurisprudenta.csj.md/search_hot_expl.php?id=300</w:t>
        </w:r>
      </w:hyperlink>
      <w:r>
        <w:rPr>
          <w:color w:val="0000FF"/>
          <w:spacing w:val="40"/>
        </w:rPr>
        <w:t xml:space="preserve"> </w:t>
      </w:r>
      <w:r>
        <w:t>(acce</w:t>
      </w:r>
      <w:r>
        <w:t>sat pe 11.11.2021).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6" w:lineRule="auto"/>
        <w:ind w:right="128"/>
        <w:jc w:val="both"/>
      </w:pPr>
      <w:r>
        <w:t>Legea pentru modificarea Codului penal al Republicii Moldova, nr. 111 din 22.04.2004. În: Monitorul Oficial al Republicii Moldova, 2004, nr. 73.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6" w:lineRule="auto"/>
        <w:ind w:right="156"/>
        <w:jc w:val="both"/>
      </w:pPr>
      <w:r>
        <w:t xml:space="preserve">ODINOKAIA I. </w:t>
      </w:r>
      <w:r>
        <w:rPr>
          <w:i/>
        </w:rPr>
        <w:t>Studiu de caz privind impactul Acordului de Asociere UE-RM asupra reformei sis</w:t>
      </w:r>
      <w:r>
        <w:rPr>
          <w:i/>
        </w:rPr>
        <w:t xml:space="preserve">temului de asigurare cu pensii pentru limită de vârstă. </w:t>
      </w:r>
      <w:r>
        <w:t>În: Materialele conferinței internaționale „România – de la Marea Unire la integrarea europeană”, 14-15 noiembrie 2018, Iași: UAIC, 2021, pp. 179-190. ISBN: 978-606-714-571-7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951"/>
          <w:tab w:val="left" w:pos="953"/>
        </w:tabs>
        <w:spacing w:line="276" w:lineRule="auto"/>
        <w:ind w:right="113"/>
        <w:jc w:val="both"/>
      </w:pPr>
      <w:r>
        <w:t xml:space="preserve">STADNIȚKI L. </w:t>
      </w:r>
      <w:r>
        <w:rPr>
          <w:i/>
        </w:rPr>
        <w:t xml:space="preserve">Atribuţiile </w:t>
      </w:r>
      <w:r>
        <w:rPr>
          <w:i/>
        </w:rPr>
        <w:t>procurorului la examinarea în prima instanță a cauzelor penale</w:t>
      </w:r>
      <w:r>
        <w:t>. Autoreferat al tezei de doctor în drept. Chișinău, 2016. 28 p.</w:t>
      </w:r>
    </w:p>
    <w:p w:rsidR="00425B2A" w:rsidRDefault="0065358B">
      <w:pPr>
        <w:pStyle w:val="a5"/>
        <w:numPr>
          <w:ilvl w:val="0"/>
          <w:numId w:val="1"/>
        </w:numPr>
        <w:tabs>
          <w:tab w:val="left" w:pos="526"/>
          <w:tab w:val="left" w:pos="528"/>
        </w:tabs>
        <w:spacing w:line="276" w:lineRule="auto"/>
        <w:ind w:left="528" w:right="123"/>
        <w:jc w:val="both"/>
      </w:pPr>
      <w:r>
        <w:t xml:space="preserve">STRETEANU, F., NIȚU, D. </w:t>
      </w:r>
      <w:r>
        <w:rPr>
          <w:i/>
        </w:rPr>
        <w:t>Drept penal. Partea generală</w:t>
      </w:r>
      <w:r>
        <w:t>. Vol. I. București: Universul Juridic, 2014. 520 p. ISBN 978-606-673-522-3</w:t>
      </w:r>
    </w:p>
    <w:p w:rsidR="00425B2A" w:rsidRDefault="0065358B">
      <w:pPr>
        <w:pStyle w:val="1"/>
        <w:numPr>
          <w:ilvl w:val="1"/>
          <w:numId w:val="2"/>
        </w:numPr>
        <w:tabs>
          <w:tab w:val="left" w:pos="818"/>
        </w:tabs>
        <w:spacing w:before="251"/>
        <w:ind w:left="818" w:hanging="370"/>
        <w:jc w:val="both"/>
      </w:pPr>
      <w:r>
        <w:t>Citarea</w:t>
      </w:r>
      <w:r>
        <w:rPr>
          <w:spacing w:val="-4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2"/>
        </w:rPr>
        <w:t>referinţele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28"/>
        </w:tabs>
        <w:spacing w:before="130"/>
        <w:ind w:left="1528" w:hanging="355"/>
      </w:pPr>
      <w:r>
        <w:t>citatele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dau</w:t>
      </w:r>
      <w:r>
        <w:rPr>
          <w:spacing w:val="-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i/>
          <w:spacing w:val="-2"/>
        </w:rPr>
        <w:t>italice</w:t>
      </w:r>
      <w:r>
        <w:rPr>
          <w:spacing w:val="-2"/>
        </w:rPr>
        <w:t>;</w:t>
      </w:r>
    </w:p>
    <w:p w:rsidR="00425B2A" w:rsidRDefault="0065358B">
      <w:pPr>
        <w:pStyle w:val="a5"/>
        <w:numPr>
          <w:ilvl w:val="2"/>
          <w:numId w:val="2"/>
        </w:numPr>
        <w:tabs>
          <w:tab w:val="left" w:pos="1528"/>
        </w:tabs>
        <w:spacing w:before="2" w:line="257" w:lineRule="exact"/>
        <w:ind w:left="1528" w:hanging="355"/>
      </w:pPr>
      <w:r>
        <w:t>referinţele</w:t>
      </w:r>
      <w:r>
        <w:rPr>
          <w:spacing w:val="8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text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dau</w:t>
      </w:r>
      <w:r>
        <w:rPr>
          <w:spacing w:val="9"/>
        </w:rPr>
        <w:t xml:space="preserve"> </w:t>
      </w:r>
      <w:r>
        <w:t>între</w:t>
      </w:r>
      <w:r>
        <w:rPr>
          <w:spacing w:val="10"/>
        </w:rPr>
        <w:t xml:space="preserve"> </w:t>
      </w:r>
      <w:r>
        <w:t>paranteze</w:t>
      </w:r>
      <w:r>
        <w:rPr>
          <w:spacing w:val="11"/>
        </w:rPr>
        <w:t xml:space="preserve"> </w:t>
      </w:r>
      <w:r>
        <w:t>drepte</w:t>
      </w:r>
      <w:r>
        <w:rPr>
          <w:spacing w:val="11"/>
        </w:rPr>
        <w:t xml:space="preserve"> </w:t>
      </w:r>
      <w:r>
        <w:t>[1],</w:t>
      </w:r>
      <w:r>
        <w:rPr>
          <w:spacing w:val="8"/>
        </w:rPr>
        <w:t xml:space="preserve"> </w:t>
      </w:r>
      <w:r>
        <w:t>indicându-se</w:t>
      </w:r>
      <w:r>
        <w:rPr>
          <w:spacing w:val="11"/>
        </w:rPr>
        <w:t xml:space="preserve"> </w:t>
      </w:r>
      <w:r>
        <w:t>pagina</w:t>
      </w:r>
      <w:r>
        <w:rPr>
          <w:spacing w:val="11"/>
        </w:rPr>
        <w:t xml:space="preserve"> </w:t>
      </w:r>
      <w:r>
        <w:t>[2,</w:t>
      </w:r>
      <w:r>
        <w:rPr>
          <w:spacing w:val="8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71],</w:t>
      </w:r>
      <w:r>
        <w:rPr>
          <w:spacing w:val="9"/>
        </w:rPr>
        <w:t xml:space="preserve"> </w:t>
      </w:r>
      <w:r>
        <w:rPr>
          <w:spacing w:val="-5"/>
        </w:rPr>
        <w:t>[2,</w:t>
      </w:r>
    </w:p>
    <w:p w:rsidR="00425B2A" w:rsidRDefault="0065358B">
      <w:pPr>
        <w:pStyle w:val="a3"/>
        <w:spacing w:line="256" w:lineRule="exact"/>
        <w:ind w:right="7252"/>
        <w:jc w:val="right"/>
      </w:pPr>
      <w:r>
        <w:t>pp.</w:t>
      </w:r>
      <w:r>
        <w:rPr>
          <w:spacing w:val="-9"/>
        </w:rPr>
        <w:t xml:space="preserve"> </w:t>
      </w:r>
      <w:r>
        <w:t>80-</w:t>
      </w:r>
      <w:r>
        <w:rPr>
          <w:spacing w:val="-4"/>
        </w:rPr>
        <w:t>85].</w:t>
      </w:r>
    </w:p>
    <w:p w:rsidR="00425B2A" w:rsidRDefault="0065358B">
      <w:pPr>
        <w:pStyle w:val="1"/>
        <w:numPr>
          <w:ilvl w:val="1"/>
          <w:numId w:val="2"/>
        </w:numPr>
        <w:tabs>
          <w:tab w:val="left" w:pos="370"/>
        </w:tabs>
        <w:spacing w:line="257" w:lineRule="exact"/>
        <w:ind w:left="370" w:right="7321" w:hanging="370"/>
      </w:pPr>
      <w:r>
        <w:t>Notele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subsol</w:t>
      </w:r>
    </w:p>
    <w:p w:rsidR="00425B2A" w:rsidRDefault="0065358B">
      <w:pPr>
        <w:pStyle w:val="a3"/>
        <w:spacing w:before="2"/>
        <w:ind w:left="809"/>
      </w:pPr>
      <w:r>
        <w:t>În</w:t>
      </w:r>
      <w:r>
        <w:rPr>
          <w:spacing w:val="22"/>
        </w:rPr>
        <w:t xml:space="preserve"> </w:t>
      </w:r>
      <w:r>
        <w:t>notele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subsol</w:t>
      </w:r>
      <w:r>
        <w:rPr>
          <w:spacing w:val="22"/>
        </w:rPr>
        <w:t xml:space="preserve"> </w:t>
      </w:r>
      <w:r>
        <w:t>se dau,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regulă,</w:t>
      </w:r>
      <w:r>
        <w:rPr>
          <w:spacing w:val="21"/>
        </w:rPr>
        <w:t xml:space="preserve"> </w:t>
      </w:r>
      <w:r>
        <w:t>informaţii</w:t>
      </w:r>
      <w:r>
        <w:rPr>
          <w:spacing w:val="21"/>
        </w:rPr>
        <w:t xml:space="preserve"> </w:t>
      </w:r>
      <w:r>
        <w:t>mai</w:t>
      </w:r>
      <w:r>
        <w:rPr>
          <w:spacing w:val="21"/>
        </w:rPr>
        <w:t xml:space="preserve"> </w:t>
      </w:r>
      <w:r>
        <w:t>ample</w:t>
      </w:r>
      <w:r>
        <w:rPr>
          <w:spacing w:val="23"/>
        </w:rPr>
        <w:t xml:space="preserve"> </w:t>
      </w:r>
      <w:r>
        <w:t>(citate,</w:t>
      </w:r>
      <w:r>
        <w:rPr>
          <w:spacing w:val="21"/>
        </w:rPr>
        <w:t xml:space="preserve"> </w:t>
      </w:r>
      <w:r>
        <w:t>explicaţii</w:t>
      </w:r>
      <w:r>
        <w:rPr>
          <w:spacing w:val="21"/>
        </w:rPr>
        <w:t xml:space="preserve"> </w:t>
      </w:r>
      <w:r>
        <w:t>etc.).</w:t>
      </w:r>
      <w:r>
        <w:rPr>
          <w:spacing w:val="21"/>
        </w:rPr>
        <w:t xml:space="preserve"> </w:t>
      </w:r>
      <w:r>
        <w:t>Notele</w:t>
      </w:r>
      <w:r>
        <w:rPr>
          <w:spacing w:val="22"/>
        </w:rPr>
        <w:t xml:space="preserve"> </w:t>
      </w:r>
      <w:r>
        <w:t>de subsol se numerotează începând cu 1 şi se inserează automat prin Word.</w:t>
      </w:r>
    </w:p>
    <w:p w:rsidR="00425B2A" w:rsidRDefault="0065358B">
      <w:pPr>
        <w:pStyle w:val="1"/>
        <w:numPr>
          <w:ilvl w:val="1"/>
          <w:numId w:val="2"/>
        </w:numPr>
        <w:tabs>
          <w:tab w:val="left" w:pos="818"/>
        </w:tabs>
        <w:spacing w:before="1" w:line="257" w:lineRule="exact"/>
        <w:ind w:left="818" w:hanging="370"/>
        <w:jc w:val="left"/>
      </w:pPr>
      <w:r>
        <w:t>Scheme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2"/>
        </w:rPr>
        <w:t>tabele</w:t>
      </w:r>
    </w:p>
    <w:p w:rsidR="00425B2A" w:rsidRDefault="0065358B">
      <w:pPr>
        <w:pStyle w:val="a3"/>
        <w:spacing w:line="242" w:lineRule="auto"/>
        <w:ind w:left="809"/>
      </w:pPr>
      <w:r>
        <w:t>Schemele,</w:t>
      </w:r>
      <w:r>
        <w:rPr>
          <w:spacing w:val="40"/>
        </w:rPr>
        <w:t xml:space="preserve"> </w:t>
      </w:r>
      <w:r>
        <w:t>figurile,</w:t>
      </w:r>
      <w:r>
        <w:rPr>
          <w:spacing w:val="40"/>
        </w:rPr>
        <w:t xml:space="preserve"> </w:t>
      </w:r>
      <w:r>
        <w:t>fotografiile</w:t>
      </w:r>
      <w:r>
        <w:rPr>
          <w:spacing w:val="40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t>tabelele</w:t>
      </w:r>
      <w:r>
        <w:rPr>
          <w:spacing w:val="40"/>
        </w:rPr>
        <w:t xml:space="preserve"> </w:t>
      </w:r>
      <w:r>
        <w:t>fac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din</w:t>
      </w:r>
      <w:r>
        <w:rPr>
          <w:spacing w:val="40"/>
        </w:rPr>
        <w:t xml:space="preserve"> </w:t>
      </w:r>
      <w:r>
        <w:t>text</w:t>
      </w:r>
      <w:r>
        <w:rPr>
          <w:spacing w:val="40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plasează</w:t>
      </w:r>
      <w:r>
        <w:rPr>
          <w:spacing w:val="40"/>
        </w:rPr>
        <w:t xml:space="preserve"> </w:t>
      </w:r>
      <w:r>
        <w:t>după</w:t>
      </w:r>
      <w:r>
        <w:rPr>
          <w:spacing w:val="40"/>
        </w:rPr>
        <w:t xml:space="preserve"> </w:t>
      </w:r>
      <w:r>
        <w:t>referinţa respectivă în text. Este preferabil ca acestea să fie realizate în programul Word.</w:t>
      </w:r>
    </w:p>
    <w:p w:rsidR="00425B2A" w:rsidRDefault="0065358B">
      <w:pPr>
        <w:spacing w:before="254"/>
        <w:ind w:right="118"/>
        <w:jc w:val="right"/>
        <w:rPr>
          <w:b/>
        </w:rPr>
      </w:pPr>
      <w:r>
        <w:rPr>
          <w:b/>
        </w:rPr>
        <w:t>COMITETUL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ORGANIZATORIC</w:t>
      </w:r>
    </w:p>
    <w:sectPr w:rsidR="00425B2A">
      <w:pgSz w:w="11920" w:h="16840"/>
      <w:pgMar w:top="3300" w:right="620" w:bottom="1060" w:left="1500" w:header="736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8B" w:rsidRDefault="0065358B">
      <w:r>
        <w:separator/>
      </w:r>
    </w:p>
  </w:endnote>
  <w:endnote w:type="continuationSeparator" w:id="0">
    <w:p w:rsidR="0065358B" w:rsidRDefault="006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2A" w:rsidRDefault="0065358B">
    <w:pPr>
      <w:pStyle w:val="a3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0" distR="0" simplePos="0" relativeHeight="487527424" behindDoc="1" locked="0" layoutInCell="1" allowOverlap="1">
              <wp:simplePos x="0" y="0"/>
              <wp:positionH relativeFrom="page">
                <wp:posOffset>6916166</wp:posOffset>
              </wp:positionH>
              <wp:positionV relativeFrom="page">
                <wp:posOffset>9973076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5B2A" w:rsidRDefault="0065358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E04964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544.6pt;margin-top:785.3pt;width:13pt;height:15.3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" filled="f" stroked="f">
              <v:path arrowok="t"/>
              <v:textbox inset="0,0,0,0">
                <w:txbxContent>
                  <w:p w:rsidR="00425B2A" w:rsidRDefault="0065358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E04964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8B" w:rsidRDefault="0065358B">
      <w:r>
        <w:separator/>
      </w:r>
    </w:p>
  </w:footnote>
  <w:footnote w:type="continuationSeparator" w:id="0">
    <w:p w:rsidR="0065358B" w:rsidRDefault="006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2A" w:rsidRDefault="009F1AE2">
    <w:pPr>
      <w:pStyle w:val="a3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9BE1E2A" wp14:editId="6D980852">
              <wp:simplePos x="0" y="0"/>
              <wp:positionH relativeFrom="page">
                <wp:posOffset>3470275</wp:posOffset>
              </wp:positionH>
              <wp:positionV relativeFrom="page">
                <wp:posOffset>1912620</wp:posOffset>
              </wp:positionV>
              <wp:extent cx="1360170" cy="2044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017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5B2A" w:rsidRDefault="0065358B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4F6128"/>
                              <w:sz w:val="24"/>
                            </w:rPr>
                            <w:t>1</w:t>
                          </w:r>
                          <w:r w:rsidR="009F1AE2">
                            <w:rPr>
                              <w:b/>
                              <w:color w:val="4F6128"/>
                              <w:sz w:val="24"/>
                            </w:rPr>
                            <w:t>6 mai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E1E2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73.25pt;margin-top:150.6pt;width:107.1pt;height:16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" filled="f" stroked="f">
              <v:path arrowok="t"/>
              <v:textbox inset="0,0,0,0">
                <w:txbxContent>
                  <w:p w:rsidR="00425B2A" w:rsidRDefault="0065358B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F6128"/>
                        <w:sz w:val="24"/>
                      </w:rPr>
                      <w:t>1</w:t>
                    </w:r>
                    <w:r w:rsidR="009F1AE2">
                      <w:rPr>
                        <w:b/>
                        <w:color w:val="4F6128"/>
                        <w:sz w:val="24"/>
                      </w:rPr>
                      <w:t>6 mai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018D40F" wp14:editId="338C2648">
              <wp:simplePos x="0" y="0"/>
              <wp:positionH relativeFrom="page">
                <wp:posOffset>2011681</wp:posOffset>
              </wp:positionH>
              <wp:positionV relativeFrom="page">
                <wp:posOffset>1196340</wp:posOffset>
              </wp:positionV>
              <wp:extent cx="4114800" cy="8153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815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F1AE2" w:rsidRPr="009F1AE2" w:rsidRDefault="009F1AE2" w:rsidP="009F1AE2">
                          <w:pPr>
                            <w:spacing w:before="20"/>
                            <w:ind w:left="20" w:right="18"/>
                            <w:jc w:val="center"/>
                            <w:rPr>
                              <w:b/>
                              <w:bCs/>
                              <w:color w:val="4F6128"/>
                              <w:sz w:val="20"/>
                            </w:rPr>
                          </w:pPr>
                          <w:r w:rsidRPr="009F1AE2">
                            <w:rPr>
                              <w:b/>
                              <w:bCs/>
                              <w:color w:val="4F6128"/>
                              <w:sz w:val="20"/>
                            </w:rPr>
                            <w:t>CONFERINŢA ŞTIINŢIFICĂ NAȚIONALĂ CU PARTICIPARE INTERNAŢIONALĂ</w:t>
                          </w:r>
                          <w:r w:rsidRPr="009F1AE2">
                            <w:rPr>
                              <w:b/>
                              <w:color w:val="4F6128"/>
                              <w:sz w:val="20"/>
                            </w:rPr>
                            <w:br/>
                          </w:r>
                          <w:r w:rsidRPr="009F1AE2">
                            <w:rPr>
                              <w:b/>
                              <w:bCs/>
                              <w:color w:val="4F6128"/>
                              <w:sz w:val="20"/>
                            </w:rPr>
                            <w:t>„</w:t>
                          </w:r>
                          <w:r w:rsidRPr="009F1AE2">
                            <w:rPr>
                              <w:b/>
                              <w:bCs/>
                              <w:i/>
                              <w:iCs/>
                              <w:color w:val="4F6128"/>
                              <w:sz w:val="20"/>
                            </w:rPr>
                            <w:t>ARMONIZAREA LEGISLAȚIEI REPUBLICII MOLDOVA LA ACQUIS-UL UNIUNII EUROPENE DIN PERSPECTIVA PROCESULUI INTEGRAȚIONIST: REALIZĂRI ȘI DEZIDERATE</w:t>
                          </w:r>
                          <w:r w:rsidRPr="009F1AE2">
                            <w:rPr>
                              <w:b/>
                              <w:bCs/>
                              <w:color w:val="4F6128"/>
                              <w:sz w:val="20"/>
                            </w:rPr>
                            <w:t>”</w:t>
                          </w:r>
                        </w:p>
                        <w:p w:rsidR="00425B2A" w:rsidRDefault="00425B2A">
                          <w:pPr>
                            <w:spacing w:before="20"/>
                            <w:ind w:left="20" w:right="18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8D40F" id="Textbox 4" o:spid="_x0000_s1027" type="#_x0000_t202" style="position:absolute;margin-left:158.4pt;margin-top:94.2pt;width:324pt;height:64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" filled="f" stroked="f">
              <v:path arrowok="t"/>
              <v:textbox inset="0,0,0,0">
                <w:txbxContent>
                  <w:p w:rsidR="009F1AE2" w:rsidRPr="009F1AE2" w:rsidRDefault="009F1AE2" w:rsidP="009F1AE2">
                    <w:pPr>
                      <w:spacing w:before="20"/>
                      <w:ind w:left="20" w:right="18"/>
                      <w:jc w:val="center"/>
                      <w:rPr>
                        <w:b/>
                        <w:bCs/>
                        <w:color w:val="4F6128"/>
                        <w:sz w:val="20"/>
                      </w:rPr>
                    </w:pPr>
                    <w:r w:rsidRPr="009F1AE2">
                      <w:rPr>
                        <w:b/>
                        <w:bCs/>
                        <w:color w:val="4F6128"/>
                        <w:sz w:val="20"/>
                      </w:rPr>
                      <w:t>CONFERINŢA ŞTIINŢIFICĂ NAȚIONALĂ CU PARTICIPARE INTERNAŢIONALĂ</w:t>
                    </w:r>
                    <w:r w:rsidRPr="009F1AE2">
                      <w:rPr>
                        <w:b/>
                        <w:color w:val="4F6128"/>
                        <w:sz w:val="20"/>
                      </w:rPr>
                      <w:br/>
                    </w:r>
                    <w:r w:rsidRPr="009F1AE2">
                      <w:rPr>
                        <w:b/>
                        <w:bCs/>
                        <w:color w:val="4F6128"/>
                        <w:sz w:val="20"/>
                      </w:rPr>
                      <w:t>„</w:t>
                    </w:r>
                    <w:r w:rsidRPr="009F1AE2">
                      <w:rPr>
                        <w:b/>
                        <w:bCs/>
                        <w:i/>
                        <w:iCs/>
                        <w:color w:val="4F6128"/>
                        <w:sz w:val="20"/>
                      </w:rPr>
                      <w:t>ARMONIZAREA LEGISLAȚIEI REPUBLICII MOLDOVA LA ACQUIS-UL UNIUNII EUROPENE DIN PERSPECTIVA PROCESULUI INTEGRAȚIONIST: REALIZĂRI ȘI DEZIDERATE</w:t>
                    </w:r>
                    <w:r w:rsidRPr="009F1AE2">
                      <w:rPr>
                        <w:b/>
                        <w:bCs/>
                        <w:color w:val="4F6128"/>
                        <w:sz w:val="20"/>
                      </w:rPr>
                      <w:t>”</w:t>
                    </w:r>
                  </w:p>
                  <w:p w:rsidR="00425B2A" w:rsidRDefault="00425B2A">
                    <w:pPr>
                      <w:spacing w:before="20"/>
                      <w:ind w:left="20" w:right="18"/>
                      <w:jc w:val="center"/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5358B">
      <w:rPr>
        <w:noProof/>
        <w:lang w:eastAsia="ro-RO"/>
      </w:rPr>
      <w:drawing>
        <wp:anchor distT="0" distB="0" distL="0" distR="0" simplePos="0" relativeHeight="251652096" behindDoc="1" locked="0" layoutInCell="1" allowOverlap="1" wp14:anchorId="22A5620A" wp14:editId="3DAED0DB">
          <wp:simplePos x="0" y="0"/>
          <wp:positionH relativeFrom="page">
            <wp:posOffset>3658100</wp:posOffset>
          </wp:positionH>
          <wp:positionV relativeFrom="page">
            <wp:posOffset>467359</wp:posOffset>
          </wp:positionV>
          <wp:extent cx="944379" cy="73017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379" cy="730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8B">
      <w:rPr>
        <w:noProof/>
        <w:lang w:eastAsia="ro-RO"/>
      </w:rPr>
      <w:drawing>
        <wp:anchor distT="0" distB="0" distL="0" distR="0" simplePos="0" relativeHeight="251656192" behindDoc="1" locked="0" layoutInCell="1" allowOverlap="1" wp14:anchorId="768F3660" wp14:editId="6F25F264">
          <wp:simplePos x="0" y="0"/>
          <wp:positionH relativeFrom="page">
            <wp:posOffset>6169659</wp:posOffset>
          </wp:positionH>
          <wp:positionV relativeFrom="page">
            <wp:posOffset>833119</wp:posOffset>
          </wp:positionV>
          <wp:extent cx="904239" cy="90677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4239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8B">
      <w:rPr>
        <w:noProof/>
        <w:lang w:eastAsia="ro-RO"/>
      </w:rPr>
      <w:drawing>
        <wp:anchor distT="0" distB="0" distL="0" distR="0" simplePos="0" relativeHeight="251660288" behindDoc="1" locked="0" layoutInCell="1" allowOverlap="1" wp14:anchorId="1DD0C75D" wp14:editId="6D7CF6F3">
          <wp:simplePos x="0" y="0"/>
          <wp:positionH relativeFrom="page">
            <wp:posOffset>1052031</wp:posOffset>
          </wp:positionH>
          <wp:positionV relativeFrom="page">
            <wp:posOffset>915307</wp:posOffset>
          </wp:positionV>
          <wp:extent cx="958378" cy="88076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8378" cy="880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9C"/>
    <w:multiLevelType w:val="multilevel"/>
    <w:tmpl w:val="838E6AA6"/>
    <w:lvl w:ilvl="0">
      <w:start w:val="1"/>
      <w:numFmt w:val="decimal"/>
      <w:lvlText w:val="%1."/>
      <w:lvlJc w:val="left"/>
      <w:pPr>
        <w:ind w:left="528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541" w:hanging="949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2">
      <w:numFmt w:val="bullet"/>
      <w:lvlText w:val=""/>
      <w:lvlJc w:val="left"/>
      <w:pPr>
        <w:ind w:left="15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60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016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373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5730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08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72B8400D"/>
    <w:multiLevelType w:val="hybridMultilevel"/>
    <w:tmpl w:val="FD122CBC"/>
    <w:lvl w:ilvl="0" w:tplc="8200AFF0">
      <w:start w:val="1"/>
      <w:numFmt w:val="decimal"/>
      <w:lvlText w:val="%1."/>
      <w:lvlJc w:val="left"/>
      <w:pPr>
        <w:ind w:left="953" w:hanging="36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ro-RO" w:eastAsia="en-US" w:bidi="ar-SA"/>
      </w:rPr>
    </w:lvl>
    <w:lvl w:ilvl="1" w:tplc="FEE42B04">
      <w:numFmt w:val="bullet"/>
      <w:lvlText w:val="•"/>
      <w:lvlJc w:val="left"/>
      <w:pPr>
        <w:ind w:left="1844" w:hanging="361"/>
      </w:pPr>
      <w:rPr>
        <w:rFonts w:hint="default"/>
        <w:lang w:val="ro-RO" w:eastAsia="en-US" w:bidi="ar-SA"/>
      </w:rPr>
    </w:lvl>
    <w:lvl w:ilvl="2" w:tplc="BA9438FA">
      <w:numFmt w:val="bullet"/>
      <w:lvlText w:val="•"/>
      <w:lvlJc w:val="left"/>
      <w:pPr>
        <w:ind w:left="2728" w:hanging="361"/>
      </w:pPr>
      <w:rPr>
        <w:rFonts w:hint="default"/>
        <w:lang w:val="ro-RO" w:eastAsia="en-US" w:bidi="ar-SA"/>
      </w:rPr>
    </w:lvl>
    <w:lvl w:ilvl="3" w:tplc="4D3EB7DA">
      <w:numFmt w:val="bullet"/>
      <w:lvlText w:val="•"/>
      <w:lvlJc w:val="left"/>
      <w:pPr>
        <w:ind w:left="3612" w:hanging="361"/>
      </w:pPr>
      <w:rPr>
        <w:rFonts w:hint="default"/>
        <w:lang w:val="ro-RO" w:eastAsia="en-US" w:bidi="ar-SA"/>
      </w:rPr>
    </w:lvl>
    <w:lvl w:ilvl="4" w:tplc="A3349ECA">
      <w:numFmt w:val="bullet"/>
      <w:lvlText w:val="•"/>
      <w:lvlJc w:val="left"/>
      <w:pPr>
        <w:ind w:left="4496" w:hanging="361"/>
      </w:pPr>
      <w:rPr>
        <w:rFonts w:hint="default"/>
        <w:lang w:val="ro-RO" w:eastAsia="en-US" w:bidi="ar-SA"/>
      </w:rPr>
    </w:lvl>
    <w:lvl w:ilvl="5" w:tplc="3B00D16C">
      <w:numFmt w:val="bullet"/>
      <w:lvlText w:val="•"/>
      <w:lvlJc w:val="left"/>
      <w:pPr>
        <w:ind w:left="5380" w:hanging="361"/>
      </w:pPr>
      <w:rPr>
        <w:rFonts w:hint="default"/>
        <w:lang w:val="ro-RO" w:eastAsia="en-US" w:bidi="ar-SA"/>
      </w:rPr>
    </w:lvl>
    <w:lvl w:ilvl="6" w:tplc="984292C8">
      <w:numFmt w:val="bullet"/>
      <w:lvlText w:val="•"/>
      <w:lvlJc w:val="left"/>
      <w:pPr>
        <w:ind w:left="6264" w:hanging="361"/>
      </w:pPr>
      <w:rPr>
        <w:rFonts w:hint="default"/>
        <w:lang w:val="ro-RO" w:eastAsia="en-US" w:bidi="ar-SA"/>
      </w:rPr>
    </w:lvl>
    <w:lvl w:ilvl="7" w:tplc="8568822C">
      <w:numFmt w:val="bullet"/>
      <w:lvlText w:val="•"/>
      <w:lvlJc w:val="left"/>
      <w:pPr>
        <w:ind w:left="7148" w:hanging="361"/>
      </w:pPr>
      <w:rPr>
        <w:rFonts w:hint="default"/>
        <w:lang w:val="ro-RO" w:eastAsia="en-US" w:bidi="ar-SA"/>
      </w:rPr>
    </w:lvl>
    <w:lvl w:ilvl="8" w:tplc="48DA2FC8">
      <w:numFmt w:val="bullet"/>
      <w:lvlText w:val="•"/>
      <w:lvlJc w:val="left"/>
      <w:pPr>
        <w:ind w:left="8032" w:hanging="36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5B2A"/>
    <w:rsid w:val="00425B2A"/>
    <w:rsid w:val="0065358B"/>
    <w:rsid w:val="009F1AE2"/>
    <w:rsid w:val="00E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2083B"/>
  <w15:docId w15:val="{91BB8BE5-8F8F-46BD-87F8-1AE126D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o-RO"/>
    </w:rPr>
  </w:style>
  <w:style w:type="paragraph" w:styleId="1">
    <w:name w:val="heading 1"/>
    <w:basedOn w:val="a"/>
    <w:uiPriority w:val="1"/>
    <w:qFormat/>
    <w:pPr>
      <w:ind w:left="1540" w:hanging="948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"/>
      <w:ind w:left="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1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AE2"/>
    <w:rPr>
      <w:rFonts w:ascii="Cambria" w:eastAsia="Cambria" w:hAnsi="Cambria" w:cs="Cambria"/>
      <w:lang w:val="ro-RO"/>
    </w:rPr>
  </w:style>
  <w:style w:type="paragraph" w:styleId="a8">
    <w:name w:val="footer"/>
    <w:basedOn w:val="a"/>
    <w:link w:val="a9"/>
    <w:uiPriority w:val="99"/>
    <w:unhideWhenUsed/>
    <w:rsid w:val="009F1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AE2"/>
    <w:rPr>
      <w:rFonts w:ascii="Cambria" w:eastAsia="Cambria" w:hAnsi="Cambria" w:cs="Cambr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jurisprudenta.csj.md/search_hot_expl.php?id=3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dra.drept@usarb.md" TargetMode="External"/><Relationship Id="rId12" Type="http://schemas.openxmlformats.org/officeDocument/2006/relationships/hyperlink" Target="http://hudoc.echr.coe.int/eng?i=001-179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urisprudenta.csj.md/search_col_penal.php?id=13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rc.org/eng/assets/files/other/1997_ap_mine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2</cp:revision>
  <dcterms:created xsi:type="dcterms:W3CDTF">2024-04-16T08:01:00Z</dcterms:created>
  <dcterms:modified xsi:type="dcterms:W3CDTF">2024-04-16T08:03:00Z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2016</vt:lpwstr>
  </property>
</Properties>
</file>